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89236">
      <w:pPr>
        <w:jc w:val="center"/>
        <w:rPr>
          <w:rFonts w:hint="default" w:ascii="Times New Roman" w:hAnsi="Times New Roman" w:cs="Times New Roman"/>
          <w:b w:val="0"/>
          <w:bCs w:val="0"/>
          <w:sz w:val="28"/>
          <w:szCs w:val="28"/>
          <w:lang w:val="en-US"/>
        </w:rPr>
      </w:pPr>
      <w:bookmarkStart w:id="0" w:name="_GoBack"/>
      <w:r>
        <w:rPr>
          <w:rFonts w:hint="default" w:ascii="Times New Roman" w:hAnsi="Times New Roman" w:cs="Times New Roman"/>
          <w:b/>
          <w:bCs/>
          <w:sz w:val="28"/>
          <w:szCs w:val="28"/>
          <w:lang w:val="en-US"/>
        </w:rPr>
        <w:t>Employment in Kenya 2026: Artificial Intelligence, Skills Transformation and Decent Jobs in a Changing Labour Market</w:t>
      </w:r>
    </w:p>
    <w:bookmarkEnd w:id="0"/>
    <w:p w14:paraId="01F03D6F">
      <w:pPr>
        <w:jc w:val="center"/>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by Jacqueline Njambi Kamau</w:t>
      </w:r>
    </w:p>
    <w:p w14:paraId="1E93C496">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Overview </w:t>
      </w:r>
    </w:p>
    <w:p w14:paraId="7151919E">
      <w:pPr>
        <w:jc w:val="both"/>
        <w:rPr>
          <w:rFonts w:hint="default" w:ascii="Times New Roman" w:hAnsi="Times New Roman" w:cs="Times New Roman"/>
          <w:sz w:val="28"/>
          <w:szCs w:val="28"/>
          <w:lang w:val="en-US"/>
        </w:rPr>
      </w:pPr>
      <w:r>
        <w:rPr>
          <w:rFonts w:ascii="Times New Roman" w:hAnsi="Times New Roman" w:cs="Times New Roman"/>
          <w:sz w:val="28"/>
          <w:szCs w:val="28"/>
        </w:rPr>
        <w:t>Kenya continues to experience dynamic shifts in its labo</w:t>
      </w:r>
      <w:r>
        <w:rPr>
          <w:rFonts w:ascii="Times New Roman" w:hAnsi="Times New Roman" w:cs="Times New Roman"/>
          <w:sz w:val="28"/>
          <w:szCs w:val="28"/>
          <w:lang w:val="en-US"/>
        </w:rPr>
        <w:t>u</w:t>
      </w:r>
      <w:r>
        <w:rPr>
          <w:rFonts w:ascii="Times New Roman" w:hAnsi="Times New Roman" w:cs="Times New Roman"/>
          <w:sz w:val="28"/>
          <w:szCs w:val="28"/>
        </w:rPr>
        <w:t>r market, influenced by technological advancements, demographic changes, and global economic trends. The National Employment Authority (NEA) has played a pivotal role in linking job seekers with employment opportunities both locally and internationally</w:t>
      </w:r>
      <w:r>
        <w:rPr>
          <w:rFonts w:hint="default" w:ascii="Times New Roman" w:hAnsi="Times New Roman" w:cs="Times New Roman"/>
          <w:sz w:val="28"/>
          <w:szCs w:val="28"/>
          <w:lang w:val="en-US"/>
        </w:rPr>
        <w:t xml:space="preserve"> with an aim of reducing unemployment and creating employment opportunities for all. </w:t>
      </w:r>
    </w:p>
    <w:p w14:paraId="2685CF95">
      <w:pPr>
        <w:jc w:val="both"/>
        <w:rPr>
          <w:rFonts w:ascii="Times New Roman" w:hAnsi="Times New Roman" w:cs="Times New Roman"/>
          <w:sz w:val="28"/>
          <w:szCs w:val="28"/>
        </w:rPr>
      </w:pPr>
      <w:r>
        <w:rPr>
          <w:rFonts w:ascii="Times New Roman" w:hAnsi="Times New Roman" w:cs="Times New Roman"/>
          <w:sz w:val="28"/>
          <w:szCs w:val="28"/>
          <w:lang w:val="en-US"/>
        </w:rPr>
        <w:t xml:space="preserve">The </w:t>
      </w:r>
      <w:r>
        <w:rPr>
          <w:rFonts w:ascii="Times New Roman" w:hAnsi="Times New Roman" w:cs="Times New Roman"/>
          <w:sz w:val="28"/>
          <w:szCs w:val="28"/>
        </w:rPr>
        <w:t>National Employment Authority (NEA)</w:t>
      </w:r>
      <w:r>
        <w:rPr>
          <w:rStyle w:val="7"/>
          <w:rFonts w:ascii="Times New Roman" w:hAnsi="Times New Roman" w:cs="Times New Roman"/>
          <w:sz w:val="28"/>
          <w:szCs w:val="28"/>
        </w:rPr>
        <w:footnoteReference w:id="0"/>
      </w:r>
      <w:r>
        <w:rPr>
          <w:rFonts w:ascii="Times New Roman" w:hAnsi="Times New Roman" w:cs="Times New Roman"/>
          <w:sz w:val="28"/>
          <w:szCs w:val="28"/>
        </w:rPr>
        <w:t xml:space="preserve"> </w:t>
      </w:r>
      <w:r>
        <w:rPr>
          <w:rFonts w:hint="default" w:ascii="Times New Roman" w:hAnsi="Times New Roman" w:cs="Times New Roman"/>
          <w:sz w:val="28"/>
          <w:szCs w:val="28"/>
          <w:lang w:val="en-US"/>
        </w:rPr>
        <w:t>in 2023</w:t>
      </w:r>
      <w:r>
        <w:rPr>
          <w:rFonts w:ascii="Times New Roman" w:hAnsi="Times New Roman" w:cs="Times New Roman"/>
          <w:sz w:val="28"/>
          <w:szCs w:val="28"/>
        </w:rPr>
        <w:t xml:space="preserve"> registered </w:t>
      </w:r>
      <w:r>
        <w:rPr>
          <w:rFonts w:ascii="Times New Roman" w:hAnsi="Times New Roman" w:cs="Times New Roman"/>
          <w:bCs/>
          <w:sz w:val="28"/>
          <w:szCs w:val="28"/>
          <w:lang w:val="en-US"/>
        </w:rPr>
        <w:t>84,642</w:t>
      </w:r>
      <w:r>
        <w:rPr>
          <w:rFonts w:ascii="Times New Roman" w:hAnsi="Times New Roman" w:cs="Times New Roman"/>
          <w:bCs/>
          <w:sz w:val="28"/>
          <w:szCs w:val="28"/>
        </w:rPr>
        <w:t xml:space="preserve"> job seekers</w:t>
      </w:r>
      <w:r>
        <w:rPr>
          <w:rFonts w:ascii="Times New Roman" w:hAnsi="Times New Roman" w:cs="Times New Roman"/>
          <w:sz w:val="28"/>
          <w:szCs w:val="28"/>
          <w:lang w:val="en-US"/>
        </w:rPr>
        <w:t xml:space="preserve"> and 8,735 employers </w:t>
      </w:r>
      <w:r>
        <w:rPr>
          <w:rFonts w:ascii="Times New Roman" w:hAnsi="Times New Roman" w:cs="Times New Roman"/>
          <w:sz w:val="28"/>
          <w:szCs w:val="28"/>
        </w:rPr>
        <w:t>in its database</w:t>
      </w:r>
      <w:r>
        <w:rPr>
          <w:rFonts w:ascii="Times New Roman" w:hAnsi="Times New Roman" w:cs="Times New Roman"/>
          <w:sz w:val="28"/>
          <w:szCs w:val="28"/>
          <w:lang w:val="en-US"/>
        </w:rPr>
        <w:t xml:space="preserve"> </w:t>
      </w:r>
      <w:r>
        <w:rPr>
          <w:rFonts w:ascii="Times New Roman" w:hAnsi="Times New Roman" w:cs="Times New Roman"/>
          <w:sz w:val="28"/>
          <w:szCs w:val="28"/>
        </w:rPr>
        <w:t>. This platform serves as a vital tool for disseminating job opportunities, offering career guidance, and connecting job seekers with prospective employers.</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Through strategic partnerships and enhanced digital communication strategies, NEA has successfully facilitated employment </w:t>
      </w:r>
      <w:r>
        <w:rPr>
          <w:rFonts w:ascii="Times New Roman" w:hAnsi="Times New Roman" w:cs="Times New Roman"/>
          <w:sz w:val="28"/>
          <w:szCs w:val="28"/>
          <w:lang w:val="en-US"/>
        </w:rPr>
        <w:t>of thousands of job</w:t>
      </w:r>
      <w:r>
        <w:rPr>
          <w:rFonts w:ascii="Times New Roman" w:hAnsi="Times New Roman" w:cs="Times New Roman"/>
          <w:bCs/>
          <w:sz w:val="28"/>
          <w:szCs w:val="28"/>
          <w:lang w:val="en-US"/>
        </w:rPr>
        <w:t xml:space="preserve"> seekers</w:t>
      </w:r>
      <w:r>
        <w:rPr>
          <w:rFonts w:ascii="Times New Roman" w:hAnsi="Times New Roman" w:cs="Times New Roman"/>
          <w:b/>
          <w:bCs/>
          <w:sz w:val="28"/>
          <w:szCs w:val="28"/>
          <w:lang w:val="en-US"/>
        </w:rPr>
        <w:t xml:space="preserve"> </w:t>
      </w:r>
      <w:r>
        <w:rPr>
          <w:rFonts w:ascii="Times New Roman" w:hAnsi="Times New Roman" w:cs="Times New Roman"/>
          <w:sz w:val="28"/>
          <w:szCs w:val="28"/>
        </w:rPr>
        <w:t>in both the private and public sectors since its inception. These placements reflect NEA's ongoing commitment to improving labo</w:t>
      </w:r>
      <w:r>
        <w:rPr>
          <w:rFonts w:ascii="Times New Roman" w:hAnsi="Times New Roman" w:cs="Times New Roman"/>
          <w:sz w:val="28"/>
          <w:szCs w:val="28"/>
          <w:lang w:val="en-US"/>
        </w:rPr>
        <w:t>u</w:t>
      </w:r>
      <w:r>
        <w:rPr>
          <w:rFonts w:ascii="Times New Roman" w:hAnsi="Times New Roman" w:cs="Times New Roman"/>
          <w:sz w:val="28"/>
          <w:szCs w:val="28"/>
        </w:rPr>
        <w:t>r market outcomes.</w:t>
      </w:r>
    </w:p>
    <w:p w14:paraId="5E4657F2">
      <w:pPr>
        <w:jc w:val="both"/>
        <w:rPr>
          <w:rFonts w:ascii="Times New Roman" w:hAnsi="Times New Roman" w:cs="Times New Roman"/>
          <w:sz w:val="28"/>
          <w:szCs w:val="28"/>
        </w:rPr>
      </w:pPr>
      <w:r>
        <w:rPr>
          <w:rFonts w:ascii="Times New Roman" w:hAnsi="Times New Roman" w:cs="Times New Roman"/>
          <w:sz w:val="28"/>
          <w:szCs w:val="28"/>
          <w:lang w:val="en-US"/>
        </w:rPr>
        <w:t xml:space="preserve">The </w:t>
      </w:r>
      <w:r>
        <w:rPr>
          <w:rFonts w:ascii="Times New Roman" w:hAnsi="Times New Roman" w:cs="Times New Roman"/>
          <w:sz w:val="28"/>
          <w:szCs w:val="28"/>
        </w:rPr>
        <w:t>International Labour Organization (ILO)</w:t>
      </w:r>
      <w:r>
        <w:rPr>
          <w:rFonts w:ascii="Times New Roman" w:hAnsi="Times New Roman" w:cs="Times New Roman"/>
          <w:sz w:val="28"/>
          <w:szCs w:val="28"/>
          <w:lang w:val="en-US"/>
        </w:rPr>
        <w:t xml:space="preserve"> in its 2025 report </w:t>
      </w:r>
      <w:r>
        <w:rPr>
          <w:rStyle w:val="7"/>
          <w:rFonts w:ascii="Times New Roman" w:hAnsi="Times New Roman" w:cs="Times New Roman"/>
          <w:sz w:val="28"/>
          <w:szCs w:val="28"/>
          <w:lang w:val="en-US"/>
        </w:rPr>
        <w:footnoteReference w:id="1"/>
      </w:r>
      <w:r>
        <w:rPr>
          <w:rFonts w:ascii="Times New Roman" w:hAnsi="Times New Roman" w:cs="Times New Roman"/>
          <w:sz w:val="28"/>
          <w:szCs w:val="28"/>
          <w:lang w:val="en-US"/>
        </w:rPr>
        <w:t xml:space="preserve">indicates that </w:t>
      </w:r>
      <w:r>
        <w:rPr>
          <w:rFonts w:ascii="Times New Roman" w:hAnsi="Times New Roman" w:cs="Times New Roman"/>
          <w:sz w:val="28"/>
          <w:szCs w:val="28"/>
        </w:rPr>
        <w:t xml:space="preserve">the global unemployment rate for 2025 is anticipated to be approximately </w:t>
      </w:r>
      <w:r>
        <w:rPr>
          <w:rFonts w:ascii="Times New Roman" w:hAnsi="Times New Roman" w:cs="Times New Roman"/>
          <w:sz w:val="28"/>
          <w:szCs w:val="28"/>
          <w:lang w:val="en-US"/>
        </w:rPr>
        <w:t>5</w:t>
      </w:r>
      <w:r>
        <w:rPr>
          <w:rFonts w:ascii="Times New Roman" w:hAnsi="Times New Roman" w:cs="Times New Roman"/>
          <w:sz w:val="28"/>
          <w:szCs w:val="28"/>
        </w:rPr>
        <w:t>.9%</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 However, a critical area of concern remains the persistently elevated youth unemployment rate, which is estimated at 12.6%. This trend underscores the ongoing labo</w:t>
      </w:r>
      <w:r>
        <w:rPr>
          <w:rFonts w:ascii="Times New Roman" w:hAnsi="Times New Roman" w:cs="Times New Roman"/>
          <w:sz w:val="28"/>
          <w:szCs w:val="28"/>
          <w:lang w:val="en-US"/>
        </w:rPr>
        <w:t>u</w:t>
      </w:r>
      <w:r>
        <w:rPr>
          <w:rFonts w:ascii="Times New Roman" w:hAnsi="Times New Roman" w:cs="Times New Roman"/>
          <w:sz w:val="28"/>
          <w:szCs w:val="28"/>
        </w:rPr>
        <w:t>r market challenges faced by young individuals, with minimal indications of improvement in their employment prospects.</w:t>
      </w:r>
    </w:p>
    <w:p w14:paraId="69117EAD">
      <w:pPr>
        <w:jc w:val="both"/>
        <w:rPr>
          <w:rFonts w:ascii="Times New Roman" w:hAnsi="Times New Roman" w:cs="Times New Roman"/>
          <w:sz w:val="28"/>
          <w:szCs w:val="28"/>
        </w:rPr>
      </w:pPr>
      <w:r>
        <w:rPr>
          <w:rFonts w:ascii="Times New Roman" w:hAnsi="Times New Roman" w:cs="Times New Roman"/>
          <w:sz w:val="28"/>
          <w:szCs w:val="28"/>
        </w:rPr>
        <w:t>According to the Kenya National Bureau of Statistics (KNBS)</w:t>
      </w:r>
      <w:r>
        <w:rPr>
          <w:rFonts w:ascii="Times New Roman" w:hAnsi="Times New Roman" w:cs="Times New Roman"/>
          <w:sz w:val="28"/>
          <w:szCs w:val="28"/>
          <w:lang w:val="en-US"/>
        </w:rPr>
        <w:t xml:space="preserve"> quarterly labour force report </w:t>
      </w:r>
      <w:r>
        <w:rPr>
          <w:rStyle w:val="7"/>
          <w:rFonts w:ascii="Times New Roman" w:hAnsi="Times New Roman" w:cs="Times New Roman"/>
          <w:sz w:val="28"/>
          <w:szCs w:val="28"/>
          <w:lang w:val="en-US"/>
        </w:rPr>
        <w:footnoteReference w:id="2"/>
      </w:r>
      <w:r>
        <w:rPr>
          <w:rFonts w:ascii="Times New Roman" w:hAnsi="Times New Roman" w:cs="Times New Roman"/>
          <w:sz w:val="28"/>
          <w:szCs w:val="28"/>
        </w:rPr>
        <w:t xml:space="preserve">, the employment status of the population aged 15 years and above is categorized </w:t>
      </w:r>
      <w:r>
        <w:rPr>
          <w:rFonts w:ascii="Times New Roman" w:hAnsi="Times New Roman" w:cs="Times New Roman"/>
          <w:sz w:val="28"/>
          <w:szCs w:val="28"/>
          <w:lang w:val="en-US"/>
        </w:rPr>
        <w:t xml:space="preserve"> in to three categories </w:t>
      </w:r>
      <w:r>
        <w:rPr>
          <w:rFonts w:ascii="Times New Roman" w:hAnsi="Times New Roman" w:cs="Times New Roman"/>
          <w:sz w:val="28"/>
          <w:szCs w:val="28"/>
        </w:rPr>
        <w:t>as follows:</w:t>
      </w:r>
    </w:p>
    <w:tbl>
      <w:tblPr>
        <w:tblStyle w:val="4"/>
        <w:tblW w:w="0" w:type="auto"/>
        <w:tblCellSpacing w:w="15" w:type="dxa"/>
        <w:tblInd w:w="0" w:type="dxa"/>
        <w:tblLayout w:type="autofit"/>
        <w:tblCellMar>
          <w:top w:w="15" w:type="dxa"/>
          <w:left w:w="15" w:type="dxa"/>
          <w:bottom w:w="15" w:type="dxa"/>
          <w:right w:w="15" w:type="dxa"/>
        </w:tblCellMar>
      </w:tblPr>
      <w:tblGrid>
        <w:gridCol w:w="2781"/>
        <w:gridCol w:w="1933"/>
      </w:tblGrid>
      <w:tr w14:paraId="1A6BC7BF">
        <w:tblPrEx>
          <w:tblCellMar>
            <w:top w:w="15" w:type="dxa"/>
            <w:left w:w="15" w:type="dxa"/>
            <w:bottom w:w="15" w:type="dxa"/>
            <w:right w:w="15" w:type="dxa"/>
          </w:tblCellMar>
        </w:tblPrEx>
        <w:trPr>
          <w:tblHeader/>
          <w:tblCellSpacing w:w="15" w:type="dxa"/>
        </w:trPr>
        <w:tc>
          <w:tcPr>
            <w:tcW w:w="0" w:type="auto"/>
            <w:vAlign w:val="center"/>
          </w:tcPr>
          <w:p w14:paraId="17624AF0">
            <w:pPr>
              <w:keepNext w:val="0"/>
              <w:keepLines w:val="0"/>
              <w:widowControl/>
              <w:suppressLineNumbers w:val="0"/>
              <w:spacing w:before="0" w:beforeAutospacing="0" w:afterAutospacing="0"/>
              <w:ind w:left="0" w:right="0"/>
              <w:jc w:val="both"/>
              <w:rPr>
                <w:rFonts w:hint="default" w:ascii="Times New Roman" w:hAnsi="Times New Roman" w:cs="Times New Roman"/>
                <w:b/>
                <w:bCs/>
                <w:sz w:val="28"/>
                <w:szCs w:val="28"/>
              </w:rPr>
            </w:pPr>
            <w:r>
              <w:rPr>
                <w:rFonts w:hint="default" w:ascii="Times New Roman" w:hAnsi="Times New Roman" w:cs="Times New Roman"/>
                <w:b/>
                <w:bCs/>
                <w:sz w:val="28"/>
                <w:szCs w:val="28"/>
              </w:rPr>
              <w:t>Employment Status</w:t>
            </w:r>
          </w:p>
        </w:tc>
        <w:tc>
          <w:tcPr>
            <w:tcW w:w="0" w:type="auto"/>
            <w:vAlign w:val="center"/>
          </w:tcPr>
          <w:p w14:paraId="19EEB8AC">
            <w:pPr>
              <w:keepNext w:val="0"/>
              <w:keepLines w:val="0"/>
              <w:widowControl/>
              <w:suppressLineNumbers w:val="0"/>
              <w:spacing w:before="0" w:beforeAutospacing="0" w:afterAutospacing="0"/>
              <w:ind w:left="0" w:right="0"/>
              <w:jc w:val="both"/>
              <w:rPr>
                <w:rFonts w:hint="default" w:ascii="Times New Roman" w:hAnsi="Times New Roman" w:cs="Times New Roman"/>
                <w:b/>
                <w:bCs/>
                <w:sz w:val="28"/>
                <w:szCs w:val="28"/>
              </w:rPr>
            </w:pPr>
            <w:r>
              <w:rPr>
                <w:rFonts w:hint="default" w:ascii="Times New Roman" w:hAnsi="Times New Roman" w:cs="Times New Roman"/>
                <w:b/>
                <w:bCs/>
                <w:sz w:val="28"/>
                <w:szCs w:val="28"/>
              </w:rPr>
              <w:t>Percentage (%)</w:t>
            </w:r>
          </w:p>
        </w:tc>
      </w:tr>
      <w:tr w14:paraId="3C7967A8">
        <w:tblPrEx>
          <w:tblCellMar>
            <w:top w:w="15" w:type="dxa"/>
            <w:left w:w="15" w:type="dxa"/>
            <w:bottom w:w="15" w:type="dxa"/>
            <w:right w:w="15" w:type="dxa"/>
          </w:tblCellMar>
        </w:tblPrEx>
        <w:trPr>
          <w:tblCellSpacing w:w="15" w:type="dxa"/>
        </w:trPr>
        <w:tc>
          <w:tcPr>
            <w:tcW w:w="0" w:type="auto"/>
            <w:vAlign w:val="center"/>
          </w:tcPr>
          <w:p w14:paraId="7DE72232">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Employed</w:t>
            </w:r>
          </w:p>
        </w:tc>
        <w:tc>
          <w:tcPr>
            <w:tcW w:w="0" w:type="auto"/>
            <w:vAlign w:val="center"/>
          </w:tcPr>
          <w:p w14:paraId="2B17C276">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83.0</w:t>
            </w:r>
          </w:p>
        </w:tc>
      </w:tr>
      <w:tr w14:paraId="4842EC32">
        <w:tblPrEx>
          <w:tblCellMar>
            <w:top w:w="15" w:type="dxa"/>
            <w:left w:w="15" w:type="dxa"/>
            <w:bottom w:w="15" w:type="dxa"/>
            <w:right w:w="15" w:type="dxa"/>
          </w:tblCellMar>
        </w:tblPrEx>
        <w:trPr>
          <w:tblCellSpacing w:w="15" w:type="dxa"/>
        </w:trPr>
        <w:tc>
          <w:tcPr>
            <w:tcW w:w="0" w:type="auto"/>
            <w:vAlign w:val="center"/>
          </w:tcPr>
          <w:p w14:paraId="45405D1D">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Unemployed</w:t>
            </w:r>
          </w:p>
        </w:tc>
        <w:tc>
          <w:tcPr>
            <w:tcW w:w="0" w:type="auto"/>
            <w:vAlign w:val="center"/>
          </w:tcPr>
          <w:p w14:paraId="4EEC1033">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12.7</w:t>
            </w:r>
          </w:p>
        </w:tc>
      </w:tr>
      <w:tr w14:paraId="171A8211">
        <w:tblPrEx>
          <w:tblCellMar>
            <w:top w:w="15" w:type="dxa"/>
            <w:left w:w="15" w:type="dxa"/>
            <w:bottom w:w="15" w:type="dxa"/>
            <w:right w:w="15" w:type="dxa"/>
          </w:tblCellMar>
        </w:tblPrEx>
        <w:trPr>
          <w:tblCellSpacing w:w="15" w:type="dxa"/>
        </w:trPr>
        <w:tc>
          <w:tcPr>
            <w:tcW w:w="0" w:type="auto"/>
            <w:vAlign w:val="center"/>
          </w:tcPr>
          <w:p w14:paraId="56D377D0">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Not in the Labour Force</w:t>
            </w:r>
          </w:p>
        </w:tc>
        <w:tc>
          <w:tcPr>
            <w:tcW w:w="0" w:type="auto"/>
            <w:vAlign w:val="center"/>
          </w:tcPr>
          <w:p w14:paraId="0C4D82AC">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4.3</w:t>
            </w:r>
          </w:p>
        </w:tc>
      </w:tr>
      <w:tr w14:paraId="2B53126E">
        <w:tblPrEx>
          <w:tblCellMar>
            <w:top w:w="15" w:type="dxa"/>
            <w:left w:w="15" w:type="dxa"/>
            <w:bottom w:w="15" w:type="dxa"/>
            <w:right w:w="15" w:type="dxa"/>
          </w:tblCellMar>
        </w:tblPrEx>
        <w:trPr>
          <w:tblCellSpacing w:w="15" w:type="dxa"/>
        </w:trPr>
        <w:tc>
          <w:tcPr>
            <w:tcW w:w="0" w:type="auto"/>
            <w:vAlign w:val="center"/>
          </w:tcPr>
          <w:p w14:paraId="2F5A2E02">
            <w:pPr>
              <w:keepNext w:val="0"/>
              <w:keepLines w:val="0"/>
              <w:widowControl/>
              <w:suppressLineNumbers w:val="0"/>
              <w:spacing w:before="0" w:beforeAutospacing="0" w:afterAutospacing="0"/>
              <w:ind w:left="0" w:right="0"/>
              <w:jc w:val="both"/>
              <w:rPr>
                <w:rFonts w:hint="eastAsia" w:ascii="Times New Roman" w:hAnsi="Times New Roman" w:cs="Times New Roman"/>
                <w:sz w:val="28"/>
                <w:szCs w:val="28"/>
                <w:lang w:eastAsia="zh-CN"/>
              </w:rPr>
            </w:pPr>
          </w:p>
        </w:tc>
        <w:tc>
          <w:tcPr>
            <w:tcW w:w="0" w:type="auto"/>
            <w:vAlign w:val="center"/>
          </w:tcPr>
          <w:p w14:paraId="692CA3C8">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p>
        </w:tc>
      </w:tr>
    </w:tbl>
    <w:p w14:paraId="01FA4FF2">
      <w:pPr>
        <w:jc w:val="both"/>
        <w:rPr>
          <w:rFonts w:ascii="Times New Roman" w:hAnsi="Times New Roman" w:cs="Times New Roman"/>
          <w:sz w:val="28"/>
          <w:szCs w:val="28"/>
        </w:rPr>
      </w:pPr>
      <w:r>
        <w:drawing>
          <wp:inline distT="0" distB="0" distL="0" distR="0">
            <wp:extent cx="4143375" cy="2347595"/>
            <wp:effectExtent l="0" t="0" r="9525"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F75A289">
      <w:pPr>
        <w:jc w:val="both"/>
        <w:rPr>
          <w:rFonts w:ascii="Times New Roman" w:hAnsi="Times New Roman" w:cs="Times New Roman"/>
          <w:sz w:val="28"/>
          <w:szCs w:val="28"/>
        </w:rPr>
      </w:pPr>
    </w:p>
    <w:p w14:paraId="09C45BAE">
      <w:pPr>
        <w:jc w:val="both"/>
        <w:rPr>
          <w:rFonts w:ascii="Times New Roman" w:hAnsi="Times New Roman" w:cs="Times New Roman"/>
          <w:i/>
          <w:color w:val="000000" w:themeColor="text1"/>
          <w:sz w:val="28"/>
          <w:szCs w:val="28"/>
          <w:lang w:val="en-US"/>
          <w14:textFill>
            <w14:solidFill>
              <w14:schemeClr w14:val="tx1"/>
            </w14:solidFill>
          </w14:textFill>
        </w:rPr>
      </w:pPr>
      <w:r>
        <w:rPr>
          <w:rFonts w:ascii="Times New Roman" w:hAnsi="Times New Roman" w:cs="Times New Roman"/>
          <w:i/>
          <w:color w:val="000000" w:themeColor="text1"/>
          <w:sz w:val="28"/>
          <w:szCs w:val="28"/>
          <w:lang w:val="en-US"/>
          <w14:textFill>
            <w14:solidFill>
              <w14:schemeClr w14:val="tx1"/>
            </w14:solidFill>
          </w14:textFill>
        </w:rPr>
        <w:t xml:space="preserve">FIG 1: Employment Status </w:t>
      </w:r>
    </w:p>
    <w:p w14:paraId="45CB4080">
      <w:pPr>
        <w:jc w:val="both"/>
        <w:rPr>
          <w:rFonts w:ascii="Times New Roman" w:hAnsi="Times New Roman" w:cs="Times New Roman"/>
          <w:sz w:val="28"/>
          <w:szCs w:val="28"/>
          <w:lang w:eastAsia="zh-CN"/>
        </w:rPr>
      </w:pPr>
    </w:p>
    <w:p w14:paraId="383D84F1">
      <w:pPr>
        <w:jc w:val="both"/>
        <w:rPr>
          <w:rFonts w:ascii="Times New Roman" w:hAnsi="Times New Roman" w:cs="Times New Roman"/>
          <w:sz w:val="28"/>
          <w:szCs w:val="28"/>
        </w:rPr>
      </w:pPr>
    </w:p>
    <w:p w14:paraId="0E63CFC6">
      <w:pPr>
        <w:jc w:val="both"/>
        <w:rPr>
          <w:rFonts w:ascii="Times New Roman" w:hAnsi="Times New Roman" w:cs="Times New Roman"/>
          <w:sz w:val="28"/>
          <w:szCs w:val="28"/>
        </w:rPr>
      </w:pPr>
      <w:r>
        <w:rPr>
          <w:rFonts w:ascii="Times New Roman" w:hAnsi="Times New Roman" w:cs="Times New Roman"/>
          <w:sz w:val="28"/>
          <w:szCs w:val="28"/>
        </w:rPr>
        <w:t>The employed population is further divided into:</w:t>
      </w:r>
    </w:p>
    <w:tbl>
      <w:tblPr>
        <w:tblStyle w:val="4"/>
        <w:tblW w:w="0" w:type="auto"/>
        <w:tblCellSpacing w:w="15" w:type="dxa"/>
        <w:tblInd w:w="0" w:type="dxa"/>
        <w:tblLayout w:type="autofit"/>
        <w:tblCellMar>
          <w:top w:w="15" w:type="dxa"/>
          <w:left w:w="15" w:type="dxa"/>
          <w:bottom w:w="15" w:type="dxa"/>
          <w:right w:w="15" w:type="dxa"/>
        </w:tblCellMar>
      </w:tblPr>
      <w:tblGrid>
        <w:gridCol w:w="2292"/>
        <w:gridCol w:w="1933"/>
      </w:tblGrid>
      <w:tr w14:paraId="3F27B858">
        <w:tblPrEx>
          <w:tblCellMar>
            <w:top w:w="15" w:type="dxa"/>
            <w:left w:w="15" w:type="dxa"/>
            <w:bottom w:w="15" w:type="dxa"/>
            <w:right w:w="15" w:type="dxa"/>
          </w:tblCellMar>
        </w:tblPrEx>
        <w:trPr>
          <w:tblHeader/>
          <w:tblCellSpacing w:w="15" w:type="dxa"/>
        </w:trPr>
        <w:tc>
          <w:tcPr>
            <w:tcW w:w="0" w:type="auto"/>
            <w:vAlign w:val="center"/>
          </w:tcPr>
          <w:p w14:paraId="155444CC">
            <w:pPr>
              <w:keepNext w:val="0"/>
              <w:keepLines w:val="0"/>
              <w:widowControl/>
              <w:suppressLineNumbers w:val="0"/>
              <w:spacing w:before="0" w:beforeAutospacing="0" w:afterAutospacing="0"/>
              <w:ind w:left="0" w:right="0"/>
              <w:jc w:val="both"/>
              <w:rPr>
                <w:rFonts w:hint="default" w:ascii="Times New Roman" w:hAnsi="Times New Roman" w:cs="Times New Roman"/>
                <w:b/>
                <w:bCs/>
                <w:sz w:val="28"/>
                <w:szCs w:val="28"/>
              </w:rPr>
            </w:pPr>
            <w:r>
              <w:rPr>
                <w:rFonts w:hint="default" w:ascii="Times New Roman" w:hAnsi="Times New Roman" w:cs="Times New Roman"/>
                <w:b/>
                <w:bCs/>
                <w:sz w:val="28"/>
                <w:szCs w:val="28"/>
              </w:rPr>
              <w:t>Employment Type</w:t>
            </w:r>
          </w:p>
        </w:tc>
        <w:tc>
          <w:tcPr>
            <w:tcW w:w="0" w:type="auto"/>
            <w:vAlign w:val="center"/>
          </w:tcPr>
          <w:p w14:paraId="2B02F5B8">
            <w:pPr>
              <w:keepNext w:val="0"/>
              <w:keepLines w:val="0"/>
              <w:widowControl/>
              <w:suppressLineNumbers w:val="0"/>
              <w:spacing w:before="0" w:beforeAutospacing="0" w:afterAutospacing="0"/>
              <w:ind w:left="0" w:right="0"/>
              <w:jc w:val="both"/>
              <w:rPr>
                <w:rFonts w:hint="default" w:ascii="Times New Roman" w:hAnsi="Times New Roman" w:cs="Times New Roman"/>
                <w:b/>
                <w:bCs/>
                <w:sz w:val="28"/>
                <w:szCs w:val="28"/>
              </w:rPr>
            </w:pPr>
            <w:r>
              <w:rPr>
                <w:rFonts w:hint="default" w:ascii="Times New Roman" w:hAnsi="Times New Roman" w:cs="Times New Roman"/>
                <w:b/>
                <w:bCs/>
                <w:sz w:val="28"/>
                <w:szCs w:val="28"/>
              </w:rPr>
              <w:t>Percentage (%)</w:t>
            </w:r>
          </w:p>
        </w:tc>
      </w:tr>
      <w:tr w14:paraId="7006ECF8">
        <w:tblPrEx>
          <w:tblCellMar>
            <w:top w:w="15" w:type="dxa"/>
            <w:left w:w="15" w:type="dxa"/>
            <w:bottom w:w="15" w:type="dxa"/>
            <w:right w:w="15" w:type="dxa"/>
          </w:tblCellMar>
        </w:tblPrEx>
        <w:trPr>
          <w:tblCellSpacing w:w="15" w:type="dxa"/>
        </w:trPr>
        <w:tc>
          <w:tcPr>
            <w:tcW w:w="0" w:type="auto"/>
            <w:vAlign w:val="center"/>
          </w:tcPr>
          <w:p w14:paraId="5A20C202">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Self-employed</w:t>
            </w:r>
          </w:p>
        </w:tc>
        <w:tc>
          <w:tcPr>
            <w:tcW w:w="0" w:type="auto"/>
            <w:vAlign w:val="center"/>
          </w:tcPr>
          <w:p w14:paraId="0524FC0E">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69.0</w:t>
            </w:r>
          </w:p>
        </w:tc>
      </w:tr>
      <w:tr w14:paraId="13938D1B">
        <w:tblPrEx>
          <w:tblCellMar>
            <w:top w:w="15" w:type="dxa"/>
            <w:left w:w="15" w:type="dxa"/>
            <w:bottom w:w="15" w:type="dxa"/>
            <w:right w:w="15" w:type="dxa"/>
          </w:tblCellMar>
        </w:tblPrEx>
        <w:trPr>
          <w:tblCellSpacing w:w="15" w:type="dxa"/>
        </w:trPr>
        <w:tc>
          <w:tcPr>
            <w:tcW w:w="0" w:type="auto"/>
            <w:vAlign w:val="center"/>
          </w:tcPr>
          <w:p w14:paraId="56346DA8">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Paid employees</w:t>
            </w:r>
          </w:p>
        </w:tc>
        <w:tc>
          <w:tcPr>
            <w:tcW w:w="0" w:type="auto"/>
            <w:vAlign w:val="center"/>
          </w:tcPr>
          <w:p w14:paraId="3DA4ED1E">
            <w:pPr>
              <w:keepNext w:val="0"/>
              <w:keepLines w:val="0"/>
              <w:widowControl/>
              <w:suppressLineNumbers w:val="0"/>
              <w:spacing w:before="0" w:beforeAutospacing="0" w:afterAutospacing="0"/>
              <w:ind w:left="0" w:right="0"/>
              <w:jc w:val="both"/>
              <w:rPr>
                <w:rFonts w:hint="default" w:ascii="Times New Roman" w:hAnsi="Times New Roman" w:cs="Times New Roman"/>
                <w:sz w:val="28"/>
                <w:szCs w:val="28"/>
              </w:rPr>
            </w:pPr>
            <w:r>
              <w:rPr>
                <w:rFonts w:hint="default" w:ascii="Times New Roman" w:hAnsi="Times New Roman" w:cs="Times New Roman"/>
                <w:sz w:val="28"/>
                <w:szCs w:val="28"/>
              </w:rPr>
              <w:t>31.0</w:t>
            </w:r>
          </w:p>
        </w:tc>
      </w:tr>
    </w:tbl>
    <w:p w14:paraId="58C14989">
      <w:pPr>
        <w:jc w:val="both"/>
        <w:rPr>
          <w:rFonts w:ascii="Times New Roman" w:hAnsi="Times New Roman" w:cs="Times New Roman"/>
          <w:sz w:val="28"/>
          <w:szCs w:val="28"/>
        </w:rPr>
      </w:pPr>
    </w:p>
    <w:p w14:paraId="63045B69">
      <w:pPr>
        <w:jc w:val="both"/>
        <w:rPr>
          <w:rFonts w:ascii="Times New Roman" w:hAnsi="Times New Roman" w:cs="Times New Roman"/>
          <w:sz w:val="28"/>
          <w:szCs w:val="28"/>
        </w:rPr>
      </w:pPr>
      <w:r>
        <w:drawing>
          <wp:inline distT="0" distB="0" distL="0" distR="0">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8AEEF89">
      <w:pPr>
        <w:jc w:val="both"/>
        <w:rPr>
          <w:rFonts w:ascii="Times New Roman" w:hAnsi="Times New Roman" w:cs="Times New Roman"/>
          <w:i/>
          <w:iCs/>
          <w:color w:val="000000" w:themeColor="text1"/>
          <w:sz w:val="28"/>
          <w:szCs w:val="28"/>
          <w:lang w:val="en-US"/>
          <w14:textFill>
            <w14:solidFill>
              <w14:schemeClr w14:val="tx1"/>
            </w14:solidFill>
          </w14:textFill>
        </w:rPr>
      </w:pPr>
      <w:r>
        <w:rPr>
          <w:rFonts w:ascii="Times New Roman" w:hAnsi="Times New Roman" w:cs="Times New Roman"/>
          <w:i/>
          <w:iCs/>
          <w:color w:val="000000" w:themeColor="text1"/>
          <w:sz w:val="28"/>
          <w:szCs w:val="28"/>
          <w:lang w:val="en-US"/>
          <w14:textFill>
            <w14:solidFill>
              <w14:schemeClr w14:val="tx1"/>
            </w14:solidFill>
          </w14:textFill>
        </w:rPr>
        <w:t xml:space="preserve">Fig 2: Types of Employment </w:t>
      </w:r>
    </w:p>
    <w:p w14:paraId="5A06A924">
      <w:pPr>
        <w:jc w:val="both"/>
        <w:rPr>
          <w:rFonts w:ascii="Times New Roman" w:hAnsi="Times New Roman" w:cs="Times New Roman"/>
          <w:sz w:val="28"/>
          <w:szCs w:val="28"/>
          <w:lang w:eastAsia="zh-CN"/>
        </w:rPr>
      </w:pPr>
      <w:r>
        <w:rPr>
          <w:rFonts w:ascii="Times New Roman" w:hAnsi="Times New Roman" w:cs="Times New Roman"/>
          <w:sz w:val="28"/>
          <w:szCs w:val="28"/>
        </w:rPr>
        <w:t>These figures are based on the 202</w:t>
      </w:r>
      <w:r>
        <w:rPr>
          <w:rFonts w:ascii="Times New Roman" w:hAnsi="Times New Roman" w:cs="Times New Roman"/>
          <w:sz w:val="28"/>
          <w:szCs w:val="28"/>
          <w:lang w:val="en-US"/>
        </w:rPr>
        <w:t>4</w:t>
      </w:r>
      <w:r>
        <w:rPr>
          <w:rFonts w:ascii="Times New Roman" w:hAnsi="Times New Roman" w:cs="Times New Roman"/>
          <w:sz w:val="28"/>
          <w:szCs w:val="28"/>
        </w:rPr>
        <w:t xml:space="preserve"> Economic Survey published by KNBS. </w:t>
      </w:r>
      <w:r>
        <w:rPr>
          <w:rStyle w:val="7"/>
          <w:rFonts w:ascii="Times New Roman" w:hAnsi="Times New Roman" w:cs="Times New Roman"/>
          <w:sz w:val="28"/>
          <w:szCs w:val="28"/>
          <w:lang w:eastAsia="zh-CN"/>
        </w:rPr>
        <w:footnoteReference w:id="3"/>
      </w:r>
    </w:p>
    <w:p w14:paraId="77042DF8">
      <w:pPr>
        <w:jc w:val="both"/>
        <w:rPr>
          <w:rFonts w:ascii="Times New Roman" w:hAnsi="Times New Roman" w:cs="Times New Roman"/>
          <w:sz w:val="28"/>
          <w:szCs w:val="28"/>
          <w:lang w:eastAsia="zh-CN"/>
        </w:rPr>
      </w:pPr>
      <w:r>
        <w:rPr>
          <w:rFonts w:ascii="Times New Roman" w:hAnsi="Times New Roman" w:cs="Times New Roman"/>
          <w:sz w:val="28"/>
          <w:szCs w:val="28"/>
          <w:lang w:val="en-US"/>
        </w:rPr>
        <w:t>A</w:t>
      </w:r>
      <w:r>
        <w:rPr>
          <w:rFonts w:ascii="Times New Roman" w:hAnsi="Times New Roman" w:cs="Times New Roman"/>
          <w:sz w:val="28"/>
          <w:szCs w:val="28"/>
        </w:rPr>
        <w:t>ccording to the Kenya Continuous Household Survey, the NEET rate (Not in Employment, Education, or Training) for young women aged 20-24 in Kenya is around 53%, while for men in the same age group it is 36%. This indicates a significantly higher proportion of young women falling into the NEET category. </w:t>
      </w:r>
      <w:r>
        <w:rPr>
          <w:rStyle w:val="7"/>
          <w:rFonts w:ascii="Times New Roman" w:hAnsi="Times New Roman" w:cs="Times New Roman"/>
          <w:sz w:val="28"/>
          <w:szCs w:val="28"/>
          <w:lang w:eastAsia="zh-CN"/>
        </w:rPr>
        <w:footnoteReference w:id="4"/>
      </w:r>
    </w:p>
    <w:p w14:paraId="44CB5569">
      <w:pPr>
        <w:jc w:val="both"/>
        <w:rPr>
          <w:rFonts w:ascii="Times New Roman" w:hAnsi="Times New Roman" w:cs="Times New Roman"/>
          <w:color w:val="000000" w:themeColor="text1"/>
          <w:sz w:val="28"/>
          <w:szCs w:val="28"/>
          <w:shd w:val="clear" w:color="auto" w:fill="FFFFFF"/>
          <w:lang w:eastAsia="zh-CN"/>
          <w14:textFill>
            <w14:solidFill>
              <w14:schemeClr w14:val="tx1"/>
            </w14:solidFill>
          </w14:textFill>
        </w:rPr>
      </w:pPr>
      <w:r>
        <w:rPr>
          <w:rFonts w:ascii="Times New Roman" w:hAnsi="Times New Roman" w:cs="Times New Roman"/>
          <w:color w:val="000000" w:themeColor="text1"/>
          <w:sz w:val="28"/>
          <w:szCs w:val="28"/>
          <w:shd w:val="clear" w:color="auto" w:fill="FFFFFF"/>
          <w:lang w:val="en-US"/>
          <w14:textFill>
            <w14:solidFill>
              <w14:schemeClr w14:val="tx1"/>
            </w14:solidFill>
          </w14:textFill>
        </w:rPr>
        <w:t>Geopoll survey reports shows that a</w:t>
      </w:r>
      <w:r>
        <w:rPr>
          <w:rFonts w:ascii="Times New Roman" w:hAnsi="Times New Roman" w:cs="Times New Roman"/>
          <w:color w:val="000000" w:themeColor="text1"/>
          <w:sz w:val="28"/>
          <w:szCs w:val="28"/>
          <w:shd w:val="clear" w:color="auto" w:fill="FFFFFF"/>
          <w14:textFill>
            <w14:solidFill>
              <w14:schemeClr w14:val="tx1"/>
            </w14:solidFill>
          </w14:textFill>
        </w:rPr>
        <w:t xml:space="preserve"> significant portion of the youth in Kenya (60%) holds the belief that ample opportunities exist for young individuals interested in entrepreneurship. However, 33% of the respondents express the contrary view, indicating that they believe there are insufficient opportunities available. Additionally, 7% of the youth are uncertain and do not have a clear opinion on the matter.</w:t>
      </w:r>
      <w:r>
        <w:rPr>
          <w:rStyle w:val="7"/>
          <w:rFonts w:ascii="Times New Roman" w:hAnsi="Times New Roman" w:cs="Times New Roman"/>
          <w:color w:val="000000" w:themeColor="text1"/>
          <w:sz w:val="28"/>
          <w:szCs w:val="28"/>
          <w:shd w:val="clear" w:color="auto" w:fill="FFFFFF"/>
          <w:lang w:eastAsia="zh-CN"/>
          <w14:textFill>
            <w14:solidFill>
              <w14:schemeClr w14:val="tx1"/>
            </w14:solidFill>
          </w14:textFill>
        </w:rPr>
        <w:footnoteReference w:id="5"/>
      </w:r>
    </w:p>
    <w:p w14:paraId="60FCB6FD">
      <w:pPr>
        <w:pStyle w:val="11"/>
        <w:jc w:val="both"/>
        <w:rPr>
          <w:sz w:val="28"/>
          <w:szCs w:val="28"/>
        </w:rPr>
      </w:pPr>
      <w:r>
        <w:rPr>
          <w:sz w:val="28"/>
          <w:szCs w:val="28"/>
        </w:rPr>
        <w:t>The Kenya Government has, from time to time, initiated various efforts to create employment</w:t>
      </w:r>
      <w:r>
        <w:rPr>
          <w:rFonts w:hint="default"/>
          <w:sz w:val="28"/>
          <w:szCs w:val="28"/>
          <w:lang w:val="en-US"/>
        </w:rPr>
        <w:t xml:space="preserve">, in line with the Bottom Up Economic Agenda (BETA) and the Country’s Vision 2030. </w:t>
      </w:r>
      <w:r>
        <w:rPr>
          <w:sz w:val="28"/>
          <w:szCs w:val="28"/>
        </w:rPr>
        <w:t>These include signing Bilateral Labour Agreements with countries such as Germany, the United Arab Emirates, Saudi Arabia, and Qatar to enhance the employability of Kenyan youth internationally. Additionally, the government has partnered with the World Bank through the Kenya Youth Employment &amp; Opportunities Project, which has supported 300,000 youth by providing a combination of skills training, business development training, and start-up grants, enabling them to secure jobs or start and grow their businesses.</w:t>
      </w:r>
      <w:r>
        <w:rPr>
          <w:rStyle w:val="7"/>
          <w:sz w:val="28"/>
          <w:szCs w:val="28"/>
        </w:rPr>
        <w:footnoteReference w:id="6"/>
      </w:r>
    </w:p>
    <w:p w14:paraId="6F6C1BFA">
      <w:pPr>
        <w:pStyle w:val="11"/>
        <w:jc w:val="both"/>
        <w:rPr>
          <w:sz w:val="28"/>
          <w:szCs w:val="28"/>
        </w:rPr>
      </w:pPr>
      <w:r>
        <w:rPr>
          <w:sz w:val="28"/>
          <w:szCs w:val="28"/>
        </w:rPr>
        <w:t>Furthermore, the UNHCR Cash-for-Work program is a social protection initiative where individuals receive cash payments in exchange for performing specific tasks such as community infrastructure repairs, cleaning public spaces, or environmental restoration projects. This program aims to provide temporary income support to vulnerable populations, particularly during times of crisis or economic hardship, while also building community assets and improving participants' livelihoods.</w:t>
      </w:r>
      <w:r>
        <w:rPr>
          <w:rStyle w:val="7"/>
          <w:sz w:val="28"/>
          <w:szCs w:val="28"/>
        </w:rPr>
        <w:footnoteReference w:id="7"/>
      </w:r>
    </w:p>
    <w:p w14:paraId="0D4F3080">
      <w:pPr>
        <w:pStyle w:val="11"/>
        <w:jc w:val="both"/>
        <w:rPr>
          <w:sz w:val="28"/>
          <w:szCs w:val="28"/>
        </w:rPr>
      </w:pPr>
      <w:r>
        <w:rPr>
          <w:sz w:val="28"/>
          <w:szCs w:val="28"/>
        </w:rPr>
        <w:t>According to the Kenya Labour Market Information System</w:t>
      </w:r>
      <w:r>
        <w:rPr>
          <w:sz w:val="28"/>
          <w:szCs w:val="28"/>
          <w:lang w:val="en-US"/>
        </w:rPr>
        <w:t xml:space="preserve"> report  </w:t>
      </w:r>
      <w:r>
        <w:rPr>
          <w:rStyle w:val="7"/>
          <w:sz w:val="28"/>
          <w:szCs w:val="28"/>
          <w:lang w:val="en-US"/>
        </w:rPr>
        <w:footnoteReference w:id="8"/>
      </w:r>
      <w:r>
        <w:rPr>
          <w:sz w:val="28"/>
          <w:szCs w:val="28"/>
        </w:rPr>
        <w:t>, retail trade remains the largest employing economic activity, followed by education, land transport, and building construction. Employers of domestic personnel rank fifth, closely followed by the food service industry. Among skilled occupations, driving offers the highest employment opportunities, followed by salespersons, with primary education teaching ranking third.</w:t>
      </w:r>
    </w:p>
    <w:p w14:paraId="2D0D33FE">
      <w:pPr>
        <w:pStyle w:val="11"/>
        <w:jc w:val="both"/>
        <w:rPr>
          <w:rFonts w:ascii="Times New Roman" w:hAnsi="Times New Roman" w:cs="Times New Roman"/>
          <w:sz w:val="28"/>
          <w:szCs w:val="28"/>
        </w:rPr>
      </w:pPr>
      <w:r>
        <w:rPr>
          <w:rFonts w:hint="default"/>
          <w:sz w:val="28"/>
          <w:szCs w:val="28"/>
          <w:lang w:val="en-US"/>
        </w:rPr>
        <w:t>T</w:t>
      </w:r>
      <w:r>
        <w:rPr>
          <w:rFonts w:ascii="Times New Roman" w:hAnsi="Times New Roman" w:cs="Times New Roman"/>
          <w:sz w:val="28"/>
          <w:szCs w:val="28"/>
          <w:lang w:val="en-US"/>
        </w:rPr>
        <w:t>he</w:t>
      </w:r>
      <w:r>
        <w:rPr>
          <w:rFonts w:ascii="Times New Roman" w:hAnsi="Times New Roman" w:cs="Times New Roman"/>
          <w:sz w:val="28"/>
          <w:szCs w:val="28"/>
        </w:rPr>
        <w:t xml:space="preserve"> Ministry of Labour and Social Protection, NEA, NITA, and other agencies have facilitated a nationwide recruitment drive across six counties. This initiative resulted in the recruitment of job seekers by private recruitment agencies in Machakos, Makueni, Kitui, Nakuru, Baringo, and Nyandarua. Job seekers were offered provisional job offers, pending processing, which streamlined the process for those from underserved areas.</w:t>
      </w:r>
    </w:p>
    <w:p w14:paraId="576345E7">
      <w:pPr>
        <w:pStyle w:val="11"/>
        <w:jc w:val="both"/>
        <w:rPr>
          <w:rFonts w:hint="default"/>
          <w:sz w:val="28"/>
          <w:szCs w:val="28"/>
          <w:lang w:val="en-US"/>
        </w:rPr>
      </w:pPr>
      <w:r>
        <w:rPr>
          <w:rFonts w:hint="default"/>
          <w:sz w:val="28"/>
          <w:szCs w:val="28"/>
          <w:lang w:val="en-US"/>
        </w:rPr>
        <w:t>This report was generated through a desktop analysis, including database evaluation and a review of reports. Mixed-method approach was applied with simultaneous collection and analysis of both qualitative and quantitative data using Python 3.1. Limitations experienced include gaps in data collection across sources.</w:t>
      </w:r>
    </w:p>
    <w:p w14:paraId="6712082A">
      <w:pPr>
        <w:jc w:val="both"/>
        <w:rPr>
          <w:rFonts w:ascii="Times New Roman" w:hAnsi="Times New Roman" w:cs="Times New Roman"/>
          <w:sz w:val="28"/>
          <w:szCs w:val="28"/>
          <w:lang w:val="en-US"/>
        </w:rPr>
      </w:pPr>
    </w:p>
    <w:p w14:paraId="6B25E745">
      <w:pPr>
        <w:jc w:val="both"/>
        <w:rPr>
          <w:rFonts w:ascii="Times New Roman" w:hAnsi="Times New Roman" w:cs="Times New Roman"/>
          <w:sz w:val="28"/>
          <w:szCs w:val="28"/>
          <w:lang w:val="en-US"/>
        </w:rPr>
      </w:pPr>
    </w:p>
    <w:p w14:paraId="1E8BBACE">
      <w:pPr>
        <w:pStyle w:val="8"/>
        <w:jc w:val="both"/>
        <w:rPr>
          <w:lang w:val="en-US"/>
        </w:rPr>
      </w:pPr>
    </w:p>
    <w:p w14:paraId="0ED972AE">
      <w:pPr>
        <w:pStyle w:val="8"/>
        <w:jc w:val="both"/>
        <w:rPr>
          <w:lang w:val="en-US"/>
        </w:rPr>
      </w:pPr>
    </w:p>
    <w:sectPr>
      <w:footerReference r:id="rId5"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DengXian">
    <w:altName w:val="SimSun"/>
    <w:panose1 w:val="02010600030101010101"/>
    <w:charset w:val="86"/>
    <w:family w:val="auto"/>
    <w:pitch w:val="default"/>
    <w:sig w:usb0="00000000" w:usb1="00000000" w:usb2="00000016" w:usb3="00000000" w:csb0="0004000F"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2081679"/>
      <w:docPartObj>
        <w:docPartGallery w:val="autotext"/>
      </w:docPartObj>
    </w:sdtPr>
    <w:sdtContent>
      <w:p w14:paraId="78D15C6E">
        <w:pPr>
          <w:pStyle w:val="6"/>
          <w:jc w:val="center"/>
        </w:pPr>
        <w:r>
          <w:fldChar w:fldCharType="begin"/>
        </w:r>
        <w:r>
          <w:instrText xml:space="preserve"> PAGE   \* MERGEFORMAT </w:instrText>
        </w:r>
        <w:r>
          <w:fldChar w:fldCharType="separate"/>
        </w:r>
        <w:r>
          <w:t>2</w:t>
        </w:r>
        <w:r>
          <w:fldChar w:fldCharType="end"/>
        </w:r>
      </w:p>
    </w:sdtContent>
  </w:sdt>
  <w:p w14:paraId="4DDA3FB2">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8">
    <w:p>
      <w:pPr>
        <w:spacing w:before="0" w:after="0" w:line="259" w:lineRule="auto"/>
      </w:pPr>
      <w:r>
        <w:separator/>
      </w:r>
    </w:p>
  </w:footnote>
  <w:footnote w:type="continuationSeparator" w:id="19">
    <w:p>
      <w:pPr>
        <w:spacing w:before="0" w:after="0" w:line="259" w:lineRule="auto"/>
      </w:pPr>
      <w:r>
        <w:continuationSeparator/>
      </w:r>
    </w:p>
  </w:footnote>
  <w:footnote w:id="0">
    <w:p w14:paraId="00EEDCF8">
      <w:pPr>
        <w:pStyle w:val="8"/>
        <w:keepNext w:val="0"/>
        <w:keepLines w:val="0"/>
        <w:pageBreakBefore w:val="0"/>
        <w:widowControl/>
        <w:kinsoku/>
        <w:wordWrap/>
        <w:overflowPunct/>
        <w:topLinePunct w:val="0"/>
        <w:bidi w:val="0"/>
        <w:adjustRightInd/>
        <w:snapToGrid w:val="0"/>
        <w:spacing w:after="0" w:line="240" w:lineRule="auto"/>
        <w:jc w:val="both"/>
        <w:textAlignment w:val="auto"/>
        <w:rPr>
          <w:rFonts w:hint="default" w:ascii="Times New Roman" w:hAnsi="Times New Roman" w:cs="Times New Roman"/>
          <w:sz w:val="20"/>
          <w:szCs w:val="20"/>
        </w:rPr>
      </w:pPr>
      <w:r>
        <w:rPr>
          <w:rStyle w:val="7"/>
          <w:rFonts w:hint="default" w:ascii="Times New Roman" w:hAnsi="Times New Roman" w:cs="Times New Roman"/>
          <w:sz w:val="20"/>
          <w:szCs w:val="20"/>
        </w:rPr>
        <w:footnoteRef/>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National Employment Authority Labour Migration Assessment 2023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"https://nea.go.ke/web/downloads /2024/ is5t3b7tgka8"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rPr>
        <w:t>https://nea.go.ke/web/downloads /2024/ is5t3b7tgka8</w:t>
      </w:r>
      <w:r>
        <w:rPr>
          <w:rFonts w:hint="default" w:ascii="Times New Roman" w:hAnsi="Times New Roman" w:cs="Times New Roman"/>
          <w:sz w:val="20"/>
          <w:szCs w:val="20"/>
          <w:lang w:val="en-US" w:eastAsia="zh-CN"/>
        </w:rPr>
        <w:fldChar w:fldCharType="end"/>
      </w:r>
    </w:p>
  </w:footnote>
  <w:footnote w:id="1">
    <w:p w14:paraId="23702227">
      <w:pPr>
        <w:pStyle w:val="8"/>
        <w:keepNext w:val="0"/>
        <w:keepLines w:val="0"/>
        <w:pageBreakBefore w:val="0"/>
        <w:widowControl/>
        <w:kinsoku/>
        <w:wordWrap/>
        <w:overflowPunct/>
        <w:topLinePunct w:val="0"/>
        <w:bidi w:val="0"/>
        <w:adjustRightInd/>
        <w:snapToGrid w:val="0"/>
        <w:spacing w:after="0" w:line="240" w:lineRule="auto"/>
        <w:jc w:val="both"/>
        <w:textAlignment w:val="auto"/>
        <w:rPr>
          <w:rFonts w:ascii="Times New Roman" w:hAnsi="Times New Roman" w:cs="Times New Roman"/>
          <w:sz w:val="20"/>
          <w:szCs w:val="20"/>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sz w:val="20"/>
          <w:szCs w:val="20"/>
        </w:rPr>
        <w:fldChar w:fldCharType="begin"/>
      </w:r>
      <w:r>
        <w:rPr>
          <w:sz w:val="20"/>
          <w:szCs w:val="20"/>
        </w:rPr>
        <w:instrText xml:space="preserve"> HYPERLINK "https://www.ilo.org/sites/default/files/2025-01/WESO25_Trends_Report_EN.pdf" </w:instrText>
      </w:r>
      <w:r>
        <w:rPr>
          <w:sz w:val="20"/>
          <w:szCs w:val="20"/>
        </w:rPr>
        <w:fldChar w:fldCharType="separate"/>
      </w:r>
      <w:r>
        <w:rPr>
          <w:rFonts w:ascii="Times New Roman" w:hAnsi="Times New Roman" w:cs="Times New Roman"/>
          <w:sz w:val="20"/>
          <w:szCs w:val="20"/>
        </w:rPr>
        <w:t>World employment and social outlook trends 2025</w:t>
      </w:r>
      <w:r>
        <w:rPr>
          <w:rFonts w:ascii="Times New Roman" w:hAnsi="Times New Roman" w:cs="Times New Roman"/>
          <w:sz w:val="20"/>
          <w:szCs w:val="20"/>
          <w:lang w:val="en-US"/>
        </w:rPr>
        <w:t>.</w:t>
      </w:r>
      <w:r>
        <w:rPr>
          <w:rFonts w:ascii="Times New Roman" w:hAnsi="Times New Roman" w:cs="Times New Roman"/>
          <w:sz w:val="20"/>
          <w:szCs w:val="20"/>
          <w:lang w:val="en-US"/>
        </w:rPr>
        <w:fldChar w:fldCharType="end"/>
      </w:r>
      <w:r>
        <w:rPr>
          <w:rFonts w:ascii="Times New Roman" w:hAnsi="Times New Roman" w:cs="Times New Roman"/>
          <w:sz w:val="20"/>
          <w:szCs w:val="20"/>
          <w:lang w:val="en-US" w:eastAsia="zh-CN"/>
        </w:rPr>
        <w:t xml:space="preserve"> </w:t>
      </w:r>
      <w:r>
        <w:rPr>
          <w:rFonts w:ascii="Times New Roman" w:hAnsi="Times New Roman" w:cs="Times New Roman"/>
          <w:sz w:val="20"/>
          <w:szCs w:val="20"/>
        </w:rPr>
        <w:t>https://www.ilo.org/sites/default/files/2025-01/WESO25_Trends_Report_EN.pdf</w:t>
      </w:r>
    </w:p>
  </w:footnote>
  <w:footnote w:id="2">
    <w:p w14:paraId="5F24A481">
      <w:pPr>
        <w:pStyle w:val="8"/>
        <w:keepNext w:val="0"/>
        <w:keepLines w:val="0"/>
        <w:pageBreakBefore w:val="0"/>
        <w:widowControl/>
        <w:kinsoku/>
        <w:wordWrap/>
        <w:overflowPunct/>
        <w:topLinePunct w:val="0"/>
        <w:bidi w:val="0"/>
        <w:adjustRightInd/>
        <w:snapToGrid w:val="0"/>
        <w:spacing w:after="0" w:line="240" w:lineRule="auto"/>
        <w:jc w:val="both"/>
        <w:textAlignment w:val="auto"/>
        <w:rPr>
          <w:rFonts w:ascii="Times New Roman" w:hAnsi="Times New Roman" w:cs="Times New Roman"/>
          <w:sz w:val="20"/>
          <w:szCs w:val="20"/>
        </w:rPr>
      </w:pPr>
      <w:r>
        <w:rPr>
          <w:rStyle w:val="7"/>
          <w:rFonts w:ascii="Times New Roman" w:hAnsi="Times New Roman" w:cs="Times New Roman"/>
          <w:sz w:val="20"/>
          <w:szCs w:val="20"/>
        </w:rPr>
        <w:footnoteRef/>
      </w:r>
      <w:r>
        <w:rPr>
          <w:rFonts w:ascii="Times New Roman" w:hAnsi="Times New Roman" w:cs="Times New Roman"/>
          <w:sz w:val="20"/>
          <w:szCs w:val="20"/>
        </w:rPr>
        <w:t xml:space="preserve"> Kenya National Bureau Of Statistics Quarterly Labour Force Report https://www.knbs.or.ke/wp-content/uploads/2023/09/Quarterly-Labour-Force-Report-2022-Quarter-4.pdf</w:t>
      </w:r>
    </w:p>
  </w:footnote>
  <w:footnote w:id="3">
    <w:p w14:paraId="6968455A">
      <w:pPr>
        <w:pStyle w:val="8"/>
        <w:spacing w:after="0" w:line="240" w:lineRule="auto"/>
        <w:jc w:val="both"/>
        <w:rPr>
          <w:rFonts w:ascii="Times New Roman" w:hAnsi="Times New Roman" w:cs="Times New Roman"/>
          <w:sz w:val="20"/>
          <w:szCs w:val="20"/>
          <w:lang w:val="en-US"/>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Kenya National Bureau of Stastistics 2024</w:t>
      </w:r>
    </w:p>
  </w:footnote>
  <w:footnote w:id="4">
    <w:p w14:paraId="182258FF">
      <w:pPr>
        <w:pStyle w:val="8"/>
        <w:spacing w:after="0" w:line="240" w:lineRule="auto"/>
        <w:jc w:val="both"/>
        <w:rPr>
          <w:rFonts w:ascii="Times New Roman" w:hAnsi="Times New Roman" w:cs="Times New Roman"/>
          <w:sz w:val="20"/>
          <w:szCs w:val="20"/>
          <w:lang w:val="en-US"/>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KNBS </w:t>
      </w:r>
      <w:r>
        <w:rPr>
          <w:rFonts w:ascii="Times New Roman" w:hAnsi="Times New Roman" w:cs="Times New Roman"/>
          <w:sz w:val="20"/>
          <w:szCs w:val="20"/>
        </w:rPr>
        <w:t>Kenya Continuous Household Survey</w:t>
      </w:r>
      <w:r>
        <w:rPr>
          <w:rFonts w:ascii="Times New Roman" w:hAnsi="Times New Roman" w:cs="Times New Roman"/>
          <w:sz w:val="20"/>
          <w:szCs w:val="20"/>
          <w:lang w:val="en-US"/>
        </w:rPr>
        <w:t xml:space="preserve"> </w:t>
      </w:r>
      <w:r>
        <w:rPr>
          <w:sz w:val="20"/>
          <w:szCs w:val="20"/>
        </w:rPr>
        <w:fldChar w:fldCharType="begin"/>
      </w:r>
      <w:r>
        <w:rPr>
          <w:sz w:val="20"/>
          <w:szCs w:val="20"/>
        </w:rPr>
        <w:instrText xml:space="preserve"> HYPERLINK "https://statistics.knbs.or.ke/nada/index.php/catalog/123" </w:instrText>
      </w:r>
      <w:r>
        <w:rPr>
          <w:sz w:val="20"/>
          <w:szCs w:val="20"/>
        </w:rPr>
        <w:fldChar w:fldCharType="separate"/>
      </w:r>
      <w:r>
        <w:rPr>
          <w:rStyle w:val="10"/>
          <w:rFonts w:ascii="Times New Roman" w:hAnsi="Times New Roman" w:cs="Times New Roman"/>
          <w:sz w:val="20"/>
          <w:szCs w:val="20"/>
          <w:lang w:val="en-US"/>
        </w:rPr>
        <w:t>https://statistics.knbs.or.ke/nada/index.php/catalog/123</w:t>
      </w:r>
      <w:r>
        <w:rPr>
          <w:rStyle w:val="10"/>
          <w:rFonts w:ascii="Times New Roman" w:hAnsi="Times New Roman" w:cs="Times New Roman"/>
          <w:sz w:val="20"/>
          <w:szCs w:val="20"/>
          <w:lang w:val="en-US"/>
        </w:rPr>
        <w:fldChar w:fldCharType="end"/>
      </w:r>
    </w:p>
  </w:footnote>
  <w:footnote w:id="5">
    <w:p w14:paraId="1E2A1FB8">
      <w:pPr>
        <w:pStyle w:val="8"/>
        <w:spacing w:after="0" w:line="240" w:lineRule="auto"/>
        <w:jc w:val="both"/>
        <w:rPr>
          <w:rFonts w:ascii="Times New Roman" w:hAnsi="Times New Roman" w:cs="Times New Roman"/>
          <w:sz w:val="20"/>
          <w:szCs w:val="20"/>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GeoPoll </w:t>
      </w:r>
      <w:r>
        <w:rPr>
          <w:rFonts w:ascii="Times New Roman" w:hAnsi="Times New Roman" w:cs="Times New Roman"/>
          <w:sz w:val="20"/>
          <w:szCs w:val="20"/>
        </w:rPr>
        <w:t xml:space="preserve">Perception of Kenya Youth on Employment and Entrepreneurship.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"https://www.geopoll.com/blog/perception-of-kenya-youth-on-employment-and-entrepreneurship/" \l ":~:text=A%20significant%20portion%20of%20the,there%20are%20insufficient%20opportunities%20available" </w:instrText>
      </w:r>
      <w:r>
        <w:rPr>
          <w:rFonts w:ascii="Times New Roman" w:hAnsi="Times New Roman" w:cs="Times New Roman"/>
          <w:sz w:val="20"/>
          <w:szCs w:val="20"/>
        </w:rPr>
        <w:fldChar w:fldCharType="separate"/>
      </w:r>
      <w:r>
        <w:rPr>
          <w:rStyle w:val="10"/>
          <w:rFonts w:ascii="Times New Roman" w:hAnsi="Times New Roman" w:cs="Times New Roman"/>
          <w:sz w:val="20"/>
          <w:szCs w:val="20"/>
        </w:rPr>
        <w:t>https://www.geopoll.com/blog/perception-of-kenya-youth-on-employment-and-entrepreneurship/#:~:text=A%20significant%20portion%20of%20the,there%20are%20insufficient%20opportunities%20available</w:t>
      </w:r>
      <w:r>
        <w:rPr>
          <w:rStyle w:val="10"/>
          <w:rFonts w:ascii="Times New Roman" w:hAnsi="Times New Roman" w:cs="Times New Roman"/>
          <w:sz w:val="20"/>
          <w:szCs w:val="20"/>
        </w:rPr>
        <w:fldChar w:fldCharType="end"/>
      </w:r>
      <w:r>
        <w:rPr>
          <w:rFonts w:ascii="Times New Roman" w:hAnsi="Times New Roman" w:cs="Times New Roman"/>
          <w:sz w:val="20"/>
          <w:szCs w:val="20"/>
        </w:rPr>
        <w:t>.</w:t>
      </w:r>
    </w:p>
    <w:p w14:paraId="5A5D6B12">
      <w:pPr>
        <w:pStyle w:val="8"/>
        <w:spacing w:after="0" w:line="240" w:lineRule="auto"/>
        <w:jc w:val="both"/>
        <w:rPr>
          <w:rFonts w:ascii="Times New Roman" w:hAnsi="Times New Roman" w:cs="Times New Roman"/>
          <w:sz w:val="20"/>
          <w:szCs w:val="20"/>
          <w:lang w:val="en-US"/>
        </w:rPr>
      </w:pPr>
    </w:p>
  </w:footnote>
  <w:footnote w:id="6">
    <w:p w14:paraId="36849EB5">
      <w:pPr>
        <w:pStyle w:val="8"/>
        <w:spacing w:after="0" w:line="240" w:lineRule="auto"/>
        <w:jc w:val="both"/>
        <w:rPr>
          <w:rFonts w:ascii="Times New Roman" w:hAnsi="Times New Roman" w:cs="Times New Roman"/>
          <w:sz w:val="20"/>
          <w:szCs w:val="20"/>
          <w:lang w:val="en-US"/>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 World Bank Kenya Youth Employment &amp; Opportunities Project </w:t>
      </w:r>
      <w:r>
        <w:rPr>
          <w:sz w:val="20"/>
          <w:szCs w:val="20"/>
        </w:rPr>
        <w:fldChar w:fldCharType="begin"/>
      </w:r>
      <w:r>
        <w:rPr>
          <w:sz w:val="20"/>
          <w:szCs w:val="20"/>
        </w:rPr>
        <w:instrText xml:space="preserve"> HYPERLINK "https://projects.worldbank.org/en/projects-operations/project-detail/P151831" </w:instrText>
      </w:r>
      <w:r>
        <w:rPr>
          <w:sz w:val="20"/>
          <w:szCs w:val="20"/>
        </w:rPr>
        <w:fldChar w:fldCharType="separate"/>
      </w:r>
      <w:r>
        <w:rPr>
          <w:rStyle w:val="10"/>
          <w:rFonts w:ascii="Times New Roman" w:hAnsi="Times New Roman" w:cs="Times New Roman"/>
          <w:sz w:val="20"/>
          <w:szCs w:val="20"/>
          <w:lang w:val="en-US"/>
        </w:rPr>
        <w:t>https://projects.worldbank.org/en/projects-operations/project-detail/P151831</w:t>
      </w:r>
      <w:r>
        <w:rPr>
          <w:rStyle w:val="10"/>
          <w:rFonts w:ascii="Times New Roman" w:hAnsi="Times New Roman" w:cs="Times New Roman"/>
          <w:sz w:val="20"/>
          <w:szCs w:val="20"/>
          <w:lang w:val="en-US"/>
        </w:rPr>
        <w:fldChar w:fldCharType="end"/>
      </w:r>
    </w:p>
  </w:footnote>
  <w:footnote w:id="7">
    <w:p w14:paraId="06EEA1DB">
      <w:pPr>
        <w:pStyle w:val="8"/>
        <w:spacing w:after="0" w:line="240" w:lineRule="auto"/>
        <w:jc w:val="both"/>
        <w:rPr>
          <w:rFonts w:ascii="Times New Roman" w:hAnsi="Times New Roman" w:cs="Times New Roman"/>
          <w:sz w:val="20"/>
          <w:szCs w:val="20"/>
          <w:lang w:val="en-US"/>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UNHCR The UN Refugee Agency Cash for Work Program </w:t>
      </w:r>
      <w:r>
        <w:rPr>
          <w:sz w:val="20"/>
          <w:szCs w:val="20"/>
        </w:rPr>
        <w:fldChar w:fldCharType="begin"/>
      </w:r>
      <w:r>
        <w:rPr>
          <w:sz w:val="20"/>
          <w:szCs w:val="20"/>
        </w:rPr>
        <w:instrText xml:space="preserve"> HYPERLINK "https://data.unhcr.org/es/documents/download/110322" </w:instrText>
      </w:r>
      <w:r>
        <w:rPr>
          <w:sz w:val="20"/>
          <w:szCs w:val="20"/>
        </w:rPr>
        <w:fldChar w:fldCharType="separate"/>
      </w:r>
      <w:r>
        <w:rPr>
          <w:rStyle w:val="10"/>
          <w:rFonts w:ascii="Times New Roman" w:hAnsi="Times New Roman" w:cs="Times New Roman"/>
          <w:sz w:val="20"/>
          <w:szCs w:val="20"/>
          <w:lang w:val="en-US"/>
        </w:rPr>
        <w:t>https://data.unhcr.org/es/documents/download/110322</w:t>
      </w:r>
      <w:r>
        <w:rPr>
          <w:rStyle w:val="10"/>
          <w:rFonts w:ascii="Times New Roman" w:hAnsi="Times New Roman" w:cs="Times New Roman"/>
          <w:sz w:val="20"/>
          <w:szCs w:val="20"/>
          <w:lang w:val="en-US"/>
        </w:rPr>
        <w:fldChar w:fldCharType="end"/>
      </w:r>
    </w:p>
  </w:footnote>
  <w:footnote w:id="8">
    <w:p w14:paraId="383427F2">
      <w:pPr>
        <w:pStyle w:val="8"/>
        <w:spacing w:after="0" w:line="240" w:lineRule="auto"/>
        <w:jc w:val="both"/>
        <w:rPr>
          <w:rFonts w:ascii="Times New Roman" w:hAnsi="Times New Roman" w:cs="Times New Roman"/>
          <w:sz w:val="20"/>
          <w:szCs w:val="20"/>
        </w:rPr>
      </w:pPr>
      <w:r>
        <w:rPr>
          <w:rStyle w:val="7"/>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Kenya Labour Market Information System KLMIS </w:t>
      </w:r>
      <w:r>
        <w:rPr>
          <w:rFonts w:ascii="Times New Roman" w:hAnsi="Times New Roman" w:cs="Times New Roman"/>
          <w:sz w:val="20"/>
          <w:szCs w:val="20"/>
        </w:rPr>
        <w:t xml:space="preserve">Kenya’s Occupation Landscape </w:t>
      </w:r>
      <w:r>
        <w:rPr>
          <w:rFonts w:ascii="Times New Roman" w:hAnsi="Times New Roman" w:cs="Times New Roman"/>
          <w:sz w:val="20"/>
          <w:szCs w:val="20"/>
          <w:lang w:val="en-US"/>
        </w:rPr>
        <w:t>a</w:t>
      </w:r>
      <w:r>
        <w:rPr>
          <w:rFonts w:ascii="Times New Roman" w:hAnsi="Times New Roman" w:cs="Times New Roman"/>
          <w:sz w:val="20"/>
          <w:szCs w:val="20"/>
        </w:rPr>
        <w:t xml:space="preserve">nd Status </w:t>
      </w:r>
      <w:r>
        <w:rPr>
          <w:rFonts w:ascii="Times New Roman" w:hAnsi="Times New Roman" w:cs="Times New Roman"/>
          <w:sz w:val="20"/>
          <w:szCs w:val="20"/>
          <w:lang w:val="en-US"/>
        </w:rPr>
        <w:t>o</w:t>
      </w:r>
      <w:r>
        <w:rPr>
          <w:rFonts w:ascii="Times New Roman" w:hAnsi="Times New Roman" w:cs="Times New Roman"/>
          <w:sz w:val="20"/>
          <w:szCs w:val="20"/>
        </w:rPr>
        <w:t xml:space="preserve">f Economic Activities </w:t>
      </w:r>
      <w:r>
        <w:rPr>
          <w:sz w:val="20"/>
          <w:szCs w:val="20"/>
        </w:rPr>
        <w:fldChar w:fldCharType="begin"/>
      </w:r>
      <w:r>
        <w:rPr>
          <w:sz w:val="20"/>
          <w:szCs w:val="20"/>
        </w:rPr>
        <w:instrText xml:space="preserve"> HYPERLINK "https://labourmarket.go.ke/media/resources/Employment_outlook_LFS.pdf" </w:instrText>
      </w:r>
      <w:r>
        <w:rPr>
          <w:sz w:val="20"/>
          <w:szCs w:val="20"/>
        </w:rPr>
        <w:fldChar w:fldCharType="separate"/>
      </w:r>
      <w:r>
        <w:rPr>
          <w:rStyle w:val="10"/>
          <w:rFonts w:ascii="Times New Roman" w:hAnsi="Times New Roman" w:cs="Times New Roman"/>
          <w:sz w:val="20"/>
          <w:szCs w:val="20"/>
        </w:rPr>
        <w:t>https://labourmarket.go.ke/media/resources/Employment_outlook_LFS.pdf</w:t>
      </w:r>
      <w:r>
        <w:rPr>
          <w:rStyle w:val="10"/>
          <w:rFonts w:ascii="Times New Roman" w:hAnsi="Times New Roman" w:cs="Times New Roman"/>
          <w:sz w:val="20"/>
          <w:szCs w:val="20"/>
        </w:rPr>
        <w:fldChar w:fldCharType="end"/>
      </w:r>
    </w:p>
    <w:p w14:paraId="27AD23D3">
      <w:pPr>
        <w:pStyle w:val="8"/>
        <w:spacing w:after="0" w:line="240" w:lineRule="auto"/>
        <w:jc w:val="both"/>
        <w:rPr>
          <w:rFonts w:ascii="Times New Roman" w:hAnsi="Times New Roman" w:cs="Times New Roman"/>
          <w:sz w:val="16"/>
          <w:szCs w:val="16"/>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18"/>
    <w:footnote w:id="19"/>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654"/>
    <w:rsid w:val="00072B5A"/>
    <w:rsid w:val="000C30FF"/>
    <w:rsid w:val="00132304"/>
    <w:rsid w:val="001A5168"/>
    <w:rsid w:val="001E2792"/>
    <w:rsid w:val="001F1FAB"/>
    <w:rsid w:val="00245A00"/>
    <w:rsid w:val="002477E3"/>
    <w:rsid w:val="00282F30"/>
    <w:rsid w:val="00316184"/>
    <w:rsid w:val="003253E9"/>
    <w:rsid w:val="00347DEA"/>
    <w:rsid w:val="00360DAC"/>
    <w:rsid w:val="003973B4"/>
    <w:rsid w:val="003B0DB2"/>
    <w:rsid w:val="003B4A0F"/>
    <w:rsid w:val="003F5106"/>
    <w:rsid w:val="004117E3"/>
    <w:rsid w:val="00414CAB"/>
    <w:rsid w:val="004351F3"/>
    <w:rsid w:val="00484DAB"/>
    <w:rsid w:val="005A40AD"/>
    <w:rsid w:val="00676BBF"/>
    <w:rsid w:val="00691445"/>
    <w:rsid w:val="006A36BE"/>
    <w:rsid w:val="006F1DE0"/>
    <w:rsid w:val="00757775"/>
    <w:rsid w:val="00767B3B"/>
    <w:rsid w:val="00850B57"/>
    <w:rsid w:val="00961038"/>
    <w:rsid w:val="009933C8"/>
    <w:rsid w:val="00997726"/>
    <w:rsid w:val="00BD24DD"/>
    <w:rsid w:val="00BD7683"/>
    <w:rsid w:val="00C707B7"/>
    <w:rsid w:val="00CC5718"/>
    <w:rsid w:val="00D36705"/>
    <w:rsid w:val="00D4393F"/>
    <w:rsid w:val="00D66B5C"/>
    <w:rsid w:val="00D73060"/>
    <w:rsid w:val="00DF4BB1"/>
    <w:rsid w:val="00E41654"/>
    <w:rsid w:val="00F23EF8"/>
    <w:rsid w:val="00F63486"/>
    <w:rsid w:val="00FA0E93"/>
    <w:rsid w:val="02CF016E"/>
    <w:rsid w:val="034C274F"/>
    <w:rsid w:val="1319295F"/>
    <w:rsid w:val="16D61937"/>
    <w:rsid w:val="182255F2"/>
    <w:rsid w:val="186C25A2"/>
    <w:rsid w:val="1DAF5941"/>
    <w:rsid w:val="1DFF69C5"/>
    <w:rsid w:val="210821C0"/>
    <w:rsid w:val="2969257B"/>
    <w:rsid w:val="2C963D65"/>
    <w:rsid w:val="2F1A3DD4"/>
    <w:rsid w:val="316E20F2"/>
    <w:rsid w:val="34104970"/>
    <w:rsid w:val="354A27EA"/>
    <w:rsid w:val="3A191AA1"/>
    <w:rsid w:val="421E4BA9"/>
    <w:rsid w:val="44B43305"/>
    <w:rsid w:val="4FBC3CEE"/>
    <w:rsid w:val="643C6563"/>
    <w:rsid w:val="6AE3640B"/>
    <w:rsid w:val="6D885974"/>
    <w:rsid w:val="72D6206F"/>
    <w:rsid w:val="737A6AC3"/>
    <w:rsid w:val="78D73194"/>
    <w:rsid w:val="7C3A4426"/>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zh-CN" w:eastAsia="en-US" w:bidi="ar-SA"/>
    </w:rPr>
  </w:style>
  <w:style w:type="paragraph" w:styleId="2">
    <w:name w:val="heading 3"/>
    <w:next w:val="1"/>
    <w:semiHidden/>
    <w:unhideWhenUsed/>
    <w:qFormat/>
    <w:uiPriority w:val="9"/>
    <w:pPr>
      <w:spacing w:beforeAutospacing="1" w:afterAutospacing="1"/>
      <w:outlineLvl w:val="2"/>
    </w:pPr>
    <w:rPr>
      <w:rFonts w:hint="eastAsia" w:ascii="SimSun" w:hAnsi="SimSun" w:eastAsia="SimSun" w:cs="Times New Roman"/>
      <w:b/>
      <w:bCs/>
      <w:sz w:val="27"/>
      <w:szCs w:val="27"/>
      <w:lang w:val="en-US" w:eastAsia="zh-CN" w:bidi="ar-SA"/>
    </w:rPr>
  </w:style>
  <w:style w:type="character" w:default="1" w:styleId="3">
    <w:name w:val="Default Paragraph Font"/>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character" w:styleId="5">
    <w:name w:val="FollowedHyperlink"/>
    <w:semiHidden/>
    <w:unhideWhenUsed/>
    <w:qFormat/>
    <w:uiPriority w:val="99"/>
    <w:rPr>
      <w:color w:val="954F72"/>
      <w:u w:val="single"/>
    </w:rPr>
  </w:style>
  <w:style w:type="paragraph" w:styleId="6">
    <w:name w:val="footer"/>
    <w:basedOn w:val="1"/>
    <w:link w:val="18"/>
    <w:unhideWhenUsed/>
    <w:qFormat/>
    <w:uiPriority w:val="99"/>
    <w:pPr>
      <w:tabs>
        <w:tab w:val="center" w:pos="4513"/>
        <w:tab w:val="right" w:pos="9026"/>
      </w:tabs>
      <w:spacing w:after="0" w:line="240" w:lineRule="auto"/>
    </w:pPr>
  </w:style>
  <w:style w:type="character" w:styleId="7">
    <w:name w:val="footnote reference"/>
    <w:basedOn w:val="3"/>
    <w:semiHidden/>
    <w:unhideWhenUsed/>
    <w:qFormat/>
    <w:uiPriority w:val="99"/>
    <w:rPr>
      <w:vertAlign w:val="superscript"/>
    </w:rPr>
  </w:style>
  <w:style w:type="paragraph" w:styleId="8">
    <w:name w:val="footnote text"/>
    <w:link w:val="15"/>
    <w:semiHidden/>
    <w:unhideWhenUsed/>
    <w:qFormat/>
    <w:uiPriority w:val="99"/>
    <w:pPr>
      <w:keepNext w:val="0"/>
      <w:keepLines w:val="0"/>
      <w:widowControl/>
      <w:suppressLineNumbers w:val="0"/>
      <w:snapToGrid w:val="0"/>
      <w:spacing w:before="0" w:beforeAutospacing="0" w:after="160" w:afterAutospacing="0" w:line="256" w:lineRule="auto"/>
      <w:ind w:left="0" w:right="0"/>
      <w:jc w:val="left"/>
    </w:pPr>
    <w:rPr>
      <w:rFonts w:hint="eastAsia" w:ascii="DengXian" w:hAnsi="DengXian" w:eastAsia="DengXian" w:cs="Times New Roman"/>
      <w:kern w:val="0"/>
      <w:sz w:val="18"/>
      <w:szCs w:val="18"/>
      <w:lang w:val="en-US" w:eastAsia="zh-CN" w:bidi="ar"/>
    </w:rPr>
  </w:style>
  <w:style w:type="paragraph" w:styleId="9">
    <w:name w:val="header"/>
    <w:basedOn w:val="1"/>
    <w:link w:val="17"/>
    <w:unhideWhenUsed/>
    <w:qFormat/>
    <w:uiPriority w:val="99"/>
    <w:pPr>
      <w:tabs>
        <w:tab w:val="center" w:pos="4513"/>
        <w:tab w:val="right" w:pos="9026"/>
      </w:tabs>
      <w:spacing w:after="0" w:line="240" w:lineRule="auto"/>
    </w:pPr>
  </w:style>
  <w:style w:type="character" w:styleId="10">
    <w:name w:val="Hyperlink"/>
    <w:basedOn w:val="3"/>
    <w:unhideWhenUsed/>
    <w:qFormat/>
    <w:uiPriority w:val="99"/>
    <w:rPr>
      <w:color w:val="0563C1" w:themeColor="hyperlink"/>
      <w:u w:val="single"/>
      <w14:textFill>
        <w14:solidFill>
          <w14:schemeClr w14:val="hlink"/>
        </w14:solidFill>
      </w14:textFill>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zh-CN" w:eastAsia="zh-CN"/>
    </w:rPr>
  </w:style>
  <w:style w:type="character" w:styleId="12">
    <w:name w:val="Strong"/>
    <w:basedOn w:val="3"/>
    <w:qFormat/>
    <w:uiPriority w:val="22"/>
    <w:rPr>
      <w:b/>
      <w:bCs/>
    </w:rPr>
  </w:style>
  <w:style w:type="character" w:customStyle="1" w:styleId="13">
    <w:name w:val="Unresolved Mention1"/>
    <w:basedOn w:val="3"/>
    <w:semiHidden/>
    <w:unhideWhenUsed/>
    <w:qFormat/>
    <w:uiPriority w:val="99"/>
    <w:rPr>
      <w:color w:val="605E5C"/>
      <w:shd w:val="clear" w:color="auto" w:fill="E1DFDD"/>
    </w:rPr>
  </w:style>
  <w:style w:type="character" w:customStyle="1" w:styleId="14">
    <w:name w:val="Unresolved Mention"/>
    <w:basedOn w:val="3"/>
    <w:semiHidden/>
    <w:unhideWhenUsed/>
    <w:qFormat/>
    <w:uiPriority w:val="99"/>
    <w:rPr>
      <w:color w:val="605E5C"/>
      <w:shd w:val="clear" w:color="auto" w:fill="E1DFDD"/>
    </w:rPr>
  </w:style>
  <w:style w:type="character" w:customStyle="1" w:styleId="15">
    <w:name w:val="Footnote Text Char"/>
    <w:basedOn w:val="3"/>
    <w:link w:val="8"/>
    <w:semiHidden/>
    <w:qFormat/>
    <w:uiPriority w:val="99"/>
    <w:rPr>
      <w:rFonts w:asciiTheme="minorHAnsi" w:hAnsiTheme="minorHAnsi" w:eastAsiaTheme="minorHAnsi" w:cstheme="minorBidi"/>
      <w:sz w:val="18"/>
      <w:szCs w:val="18"/>
      <w:lang w:val="zh-CN" w:eastAsia="en-US"/>
    </w:rPr>
  </w:style>
  <w:style w:type="character" w:customStyle="1" w:styleId="16">
    <w:name w:val="uv3um"/>
    <w:basedOn w:val="3"/>
    <w:qFormat/>
    <w:uiPriority w:val="0"/>
  </w:style>
  <w:style w:type="character" w:customStyle="1" w:styleId="17">
    <w:name w:val="Header Char"/>
    <w:basedOn w:val="3"/>
    <w:link w:val="9"/>
    <w:qFormat/>
    <w:uiPriority w:val="99"/>
    <w:rPr>
      <w:rFonts w:asciiTheme="minorHAnsi" w:hAnsiTheme="minorHAnsi" w:eastAsiaTheme="minorHAnsi" w:cstheme="minorBidi"/>
      <w:sz w:val="22"/>
      <w:szCs w:val="22"/>
      <w:lang w:val="zh-CN" w:eastAsia="en-US"/>
    </w:rPr>
  </w:style>
  <w:style w:type="character" w:customStyle="1" w:styleId="18">
    <w:name w:val="Footer Char"/>
    <w:basedOn w:val="3"/>
    <w:link w:val="6"/>
    <w:qFormat/>
    <w:uiPriority w:val="99"/>
    <w:rPr>
      <w:rFonts w:asciiTheme="minorHAnsi" w:hAnsiTheme="minorHAnsi" w:eastAsiaTheme="minorHAnsi" w:cstheme="minorBidi"/>
      <w:sz w:val="22"/>
      <w:szCs w:val="22"/>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en-US" sz="1600" b="1" i="0" u="none" strike="noStrike" kern="1200" baseline="0">
                <a:solidFill>
                  <a:schemeClr val="tx2"/>
                </a:solidFill>
                <a:latin typeface="+mn-lt"/>
                <a:ea typeface="+mn-ea"/>
                <a:cs typeface="+mn-cs"/>
              </a:defRPr>
            </a:pPr>
            <a:r>
              <a:rPr lang="en-US"/>
              <a:t>Employment Status </a:t>
            </a:r>
            <a:endParaRPr lang="en-US"/>
          </a:p>
        </c:rich>
      </c:tx>
      <c:layout/>
      <c:overlay val="0"/>
      <c:spPr>
        <a:noFill/>
        <a:ln>
          <a:noFill/>
        </a:ln>
        <a:effectLst/>
      </c:spPr>
    </c:title>
    <c:autoTitleDeleted val="0"/>
    <c:view3D>
      <c:rotX val="30"/>
      <c:rotY val="0"/>
      <c:depthPercent val="100"/>
      <c:rAngAx val="0"/>
    </c:view3D>
    <c:floor>
      <c:thickness val="0"/>
      <c:spPr>
        <a:noFill/>
        <a:ln>
          <a:noFill/>
        </a:ln>
        <a:effectLst/>
      </c:spPr>
    </c:floor>
    <c:sideWall>
      <c:thickness val="0"/>
      <c:spPr>
        <a:noFill/>
        <a:ln>
          <a:noFill/>
        </a:ln>
        <a:effectLst/>
      </c:spPr>
    </c:sideWall>
    <c:backWall>
      <c:thickness val="0"/>
      <c:spPr>
        <a:noFill/>
        <a:ln>
          <a:noFill/>
        </a:ln>
        <a:effectLst/>
      </c:spPr>
    </c:backWall>
    <c:plotArea>
      <c:layout/>
      <c:pie3DChart>
        <c:varyColors val="1"/>
        <c:ser>
          <c:idx val="0"/>
          <c:order val="0"/>
          <c:tx>
            <c:strRef>
              <c:f>Sheet1!$B$1</c:f>
              <c:strCache>
                <c:ptCount val="1"/>
                <c:pt idx="0">
                  <c:v>Percentage (%)</c:v>
                </c:pt>
              </c:strCache>
            </c:strRef>
          </c:tx>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cene3d>
                <a:camera prst="orthographicFront"/>
                <a:lightRig rig="threePt" dir="t"/>
              </a:scene3d>
              <a:sp3d/>
            </c:spPr>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2"/>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2">
                          <a:lumMod val="35000"/>
                          <a:lumOff val="65000"/>
                        </a:schemeClr>
                      </a:solidFill>
                      <a:prstDash val="solid"/>
                      <a:round/>
                    </a:ln>
                    <a:effectLst/>
                  </c:spPr>
                </c15:leaderLines>
              </c:ext>
            </c:extLst>
          </c:dLbls>
          <c:cat>
            <c:strRef>
              <c:f>Sheet1!$A$2:$A$4</c:f>
              <c:strCache>
                <c:ptCount val="3"/>
                <c:pt idx="0">
                  <c:v>Employed</c:v>
                </c:pt>
                <c:pt idx="1">
                  <c:v>Unemployed</c:v>
                </c:pt>
                <c:pt idx="2">
                  <c:v>Not in the Labour Force</c:v>
                </c:pt>
              </c:strCache>
            </c:strRef>
          </c:cat>
          <c:val>
            <c:numRef>
              <c:f>Sheet1!$B$2:$B$4</c:f>
              <c:numCache>
                <c:formatCode>General</c:formatCode>
                <c:ptCount val="3"/>
                <c:pt idx="0">
                  <c:v>83</c:v>
                </c:pt>
                <c:pt idx="1">
                  <c:v>12.7</c:v>
                </c:pt>
                <c:pt idx="2">
                  <c:v>4.3</c:v>
                </c:pt>
              </c:numCache>
            </c:numRef>
          </c:val>
        </c:ser>
        <c:dLbls>
          <c:showLegendKey val="0"/>
          <c:showVal val="0"/>
          <c:showCatName val="0"/>
          <c:showSerName val="0"/>
          <c:showPercent val="1"/>
          <c:showBubbleSize val="0"/>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en-US"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3d55a142-8fb2-4033-a8e8-98f9315a3e68}"/>
      </c:ext>
    </c:extLst>
  </c:chart>
  <c:spPr>
    <a:solidFill>
      <a:schemeClr val="bg1"/>
    </a:solidFill>
    <a:ln w="9525" cap="flat" cmpd="sng" algn="ctr">
      <a:solidFill>
        <a:schemeClr val="tx2">
          <a:lumMod val="15000"/>
          <a:lumOff val="85000"/>
        </a:schemeClr>
      </a:solidFill>
      <a:prstDash val="solid"/>
      <a:round/>
    </a:ln>
    <a:effectLst/>
  </c:spPr>
  <c:txPr>
    <a:bodyPr/>
    <a:lstStyle/>
    <a:p>
      <a:pPr>
        <a:defRPr lang="en-US"/>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en-US" sz="1800" b="1" i="0" u="none" strike="noStrike" kern="1200" baseline="0">
                <a:solidFill>
                  <a:schemeClr val="dk1">
                    <a:lumMod val="75000"/>
                    <a:lumOff val="25000"/>
                  </a:schemeClr>
                </a:solidFill>
                <a:latin typeface="+mn-lt"/>
                <a:ea typeface="+mn-ea"/>
                <a:cs typeface="+mn-cs"/>
              </a:defRPr>
            </a:pPr>
            <a:r>
              <a:rPr lang="en-US"/>
              <a:t>Types of Employment </a:t>
            </a:r>
            <a:endParaRPr lang="en-US"/>
          </a:p>
        </c:rich>
      </c:tx>
      <c:layout/>
      <c:overlay val="0"/>
      <c:spPr>
        <a:noFill/>
        <a:ln>
          <a:noFill/>
        </a:ln>
        <a:effectLst/>
      </c:spPr>
    </c:title>
    <c:autoTitleDeleted val="0"/>
    <c:plotArea>
      <c:layout/>
      <c:pieChart>
        <c:varyColors val="1"/>
        <c:ser>
          <c:idx val="0"/>
          <c:order val="0"/>
          <c:tx>
            <c:strRef>
              <c:f>Sheet1!$B$1</c:f>
              <c:strCache>
                <c:ptCount val="1"/>
                <c:pt idx="0">
                  <c:v>Percentage (%)</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lang="en-US"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Sheet1!$A$2:$A$5</c:f>
              <c:strCache>
                <c:ptCount val="2"/>
                <c:pt idx="0">
                  <c:v>Self-employed</c:v>
                </c:pt>
                <c:pt idx="1">
                  <c:v>Paid employees</c:v>
                </c:pt>
              </c:strCache>
            </c:strRef>
          </c:cat>
          <c:val>
            <c:numRef>
              <c:f>Sheet1!$B$2:$B$5</c:f>
              <c:numCache>
                <c:formatCode>General</c:formatCode>
                <c:ptCount val="4"/>
                <c:pt idx="0">
                  <c:v>69</c:v>
                </c:pt>
                <c:pt idx="1">
                  <c:v>31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lang="en-US"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0379ea25-92c8-4978-ba4a-1bbd5cf1659c}"/>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8AAAC-1DCA-444D-B54E-6755007C1C2B}">
  <ds:schemaRefs/>
</ds:datastoreItem>
</file>

<file path=docProps/app.xml><?xml version="1.0" encoding="utf-8"?>
<Properties xmlns="http://schemas.openxmlformats.org/officeDocument/2006/extended-properties" xmlns:vt="http://schemas.openxmlformats.org/officeDocument/2006/docPropsVTypes">
  <Template>Normal.dotm</Template>
  <Pages>4</Pages>
  <Words>722</Words>
  <Characters>4354</Characters>
  <Lines>92</Lines>
  <Paragraphs>36</Paragraphs>
  <TotalTime>24</TotalTime>
  <ScaleCrop>false</ScaleCrop>
  <LinksUpToDate>false</LinksUpToDate>
  <CharactersWithSpaces>5054</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2025-02-14T08:59:00Z</dcterms:created>
  <dc:creator>user</dc:creator>
  <cp:lastModifiedBy>Jacqueline Njambi Kamau</cp:lastModifiedBy>
  <dcterms:modified xsi:type="dcterms:W3CDTF">2026-06-03T09:55:51Z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5cb9b982-6913-4be9-a874-846c8448e0bc</vt:lpwstr>
  </property>
  <property fmtid="{D5CDD505-2E9C-101B-9397-08002B2CF9AE}" pid="3" name="KSOProductBuildVer">
    <vt:lpwstr>1033-12.1.0.26880</vt:lpwstr>
  </property>
  <property fmtid="{D5CDD505-2E9C-101B-9397-08002B2CF9AE}" pid="4" name="ICV">
    <vt:lpwstr>BA30B47591304C2C8D21FC878D109DD4_13</vt:lpwstr>
  </property>
  <property fmtid="{D5CDD505-2E9C-101B-9397-08002B2CF9AE}" pid="5" name="KSOTemplateDocerSaveRecord">
    <vt:lpwstr>eyJoZGlkIjoiY2QzMGFiNGE2YjQ2OGQ5NzkyOTk4YTc0MmFhYmY1YmUiLCJ1c2VySWQiOiIxNDk4MDg0Njk2ODQ3NiJ9</vt:lpwstr>
  </property>
</Properties>
</file>